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52A0D5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44F0FDB8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6C425CB9" w14:textId="77777777" w:rsidR="00F30336" w:rsidRDefault="00F30336">
      <w:pPr>
        <w:pStyle w:val="Normal1"/>
        <w:pBdr>
          <w:top w:val="single" w:sz="4" w:space="1" w:color="auto"/>
        </w:pBdr>
      </w:pPr>
    </w:p>
    <w:p w14:paraId="48EC2017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14:paraId="2597E800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1"/>
        <w:gridCol w:w="3716"/>
      </w:tblGrid>
      <w:tr w:rsidR="00A24D2E" w14:paraId="0F305D3A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AC1314" w14:textId="425DAF30" w:rsidR="00F30336" w:rsidRPr="005C054C" w:rsidRDefault="003D0275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Healthcare Assistant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64C042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14:paraId="6901B07A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7524DB" w14:textId="0D5040C2" w:rsidR="00F30336" w:rsidRPr="005C054C" w:rsidRDefault="005C054C" w:rsidP="00A24D2E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5C054C">
              <w:rPr>
                <w:rFonts w:ascii="Arial" w:hAnsi="Arial" w:cs="Arial"/>
              </w:rPr>
              <w:t xml:space="preserve">Brooklyn </w:t>
            </w:r>
            <w:r w:rsidR="003D0275">
              <w:rPr>
                <w:rFonts w:ascii="Arial" w:hAnsi="Arial" w:cs="Arial"/>
              </w:rPr>
              <w:t>Hospital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13B489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6EC1D985" w14:textId="77777777" w:rsidR="005C054C" w:rsidRDefault="005C054C" w:rsidP="005C054C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18F03B32" w14:textId="1D455A2D" w:rsidR="00150D72" w:rsidRPr="005C054C" w:rsidRDefault="003D0275" w:rsidP="003D0275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  <w:r w:rsidRPr="003D0275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Preparing patient rooms for examinations.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3D0275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Attending physical examinations with the physician, providing supplies and support where needed.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3D0275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Following up with patients concerning test results/ referrals.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3D0275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Recording actions in the EHR.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3D0275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Taking and recording patients’ vital signs as prescribed by nursing protocol/ physician’s orders.</w:t>
      </w:r>
    </w:p>
    <w:p w14:paraId="531B9E78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659B3480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14:paraId="0F3156F6" w14:textId="0EA02392" w:rsidR="00F30336" w:rsidRPr="003D0275" w:rsidRDefault="005C054C" w:rsidP="005C054C">
      <w:pPr>
        <w:pStyle w:val="Normal1"/>
        <w:spacing w:after="0" w:line="240" w:lineRule="auto"/>
        <w:rPr>
          <w:rFonts w:ascii="Arial" w:hAnsi="Arial" w:cs="Arial"/>
        </w:rPr>
      </w:pPr>
      <w:r w:rsidRPr="005C054C">
        <w:rPr>
          <w:rFonts w:hint="eastAsia"/>
        </w:rPr>
        <w:t>●</w:t>
      </w:r>
      <w:r w:rsidRPr="005C054C">
        <w:rPr>
          <w:rFonts w:hint="eastAsia"/>
        </w:rPr>
        <w:tab/>
      </w:r>
      <w:r w:rsidR="003D0275" w:rsidRPr="003D0275">
        <w:rPr>
          <w:rFonts w:ascii="Arial" w:hAnsi="Arial" w:cs="Arial"/>
        </w:rPr>
        <w:t>Generated an online, cloud-based recordkeeping system increasing proficiency in documenting nursing activities via forms, reports, and logs by 59%.</w:t>
      </w:r>
    </w:p>
    <w:p w14:paraId="5C190358" w14:textId="77777777" w:rsidR="005C054C" w:rsidRPr="005C054C" w:rsidRDefault="005C054C" w:rsidP="005C054C">
      <w:pPr>
        <w:pStyle w:val="Normal1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3"/>
        <w:gridCol w:w="3754"/>
      </w:tblGrid>
      <w:tr w:rsidR="00A24D2E" w:rsidRPr="001A78F6" w14:paraId="3824B941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E1D3C9" w14:textId="24D90A9E" w:rsidR="00F30336" w:rsidRPr="001A78F6" w:rsidRDefault="001A78F6">
            <w:pPr>
              <w:pStyle w:val="Normal1"/>
              <w:spacing w:after="0" w:line="240" w:lineRule="auto"/>
              <w:contextualSpacing w:val="0"/>
              <w:rPr>
                <w:b/>
                <w:bCs/>
                <w:sz w:val="24"/>
              </w:rPr>
            </w:pPr>
            <w:r w:rsidRPr="001A78F6">
              <w:rPr>
                <w:b/>
                <w:bCs/>
                <w:sz w:val="24"/>
              </w:rPr>
              <w:t>Healthcare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86BD9B" w14:textId="77777777" w:rsidR="00F30336" w:rsidRPr="001A78F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bCs/>
                <w:sz w:val="24"/>
              </w:rPr>
            </w:pPr>
            <w:r w:rsidRPr="001A78F6">
              <w:rPr>
                <w:rFonts w:ascii="Arial" w:hAnsi="Arial" w:cs="Arial"/>
                <w:b/>
                <w:bCs/>
                <w:sz w:val="24"/>
              </w:rPr>
              <w:t>Scottsdale, AZ</w:t>
            </w:r>
            <w:r w:rsidRPr="001A78F6">
              <w:rPr>
                <w:rFonts w:ascii="Arial" w:eastAsia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24D2E" w14:paraId="257C52E0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E3B333" w14:textId="0108B22B" w:rsidR="00F30336" w:rsidRDefault="003D0275" w:rsidP="007A46CD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Seattle Mediclinic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5E9B66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419BD771" w14:textId="524D1378" w:rsidR="00F30336" w:rsidRDefault="00AA0B5E" w:rsidP="003D0275">
      <w:pPr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3D0275" w:rsidRPr="003D0275">
        <w:rPr>
          <w:rFonts w:ascii="Arial" w:eastAsia="Times New Roman" w:hAnsi="Arial" w:cs="Arial"/>
          <w:sz w:val="22"/>
          <w:szCs w:val="22"/>
          <w:lang w:eastAsia="en-US"/>
        </w:rPr>
        <w:t>Reading and recording temperature, pulse, and breathing rate.</w:t>
      </w:r>
      <w:r w:rsidR="003D0275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D0275" w:rsidRPr="003D0275">
        <w:rPr>
          <w:rFonts w:ascii="Arial" w:eastAsia="Times New Roman" w:hAnsi="Arial" w:cs="Arial"/>
          <w:sz w:val="22"/>
          <w:szCs w:val="22"/>
          <w:lang w:eastAsia="en-US"/>
        </w:rPr>
        <w:t>Completing and submitting clinical documents following agency procedures.</w:t>
      </w:r>
      <w:r w:rsidR="003D0275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D0275" w:rsidRPr="003D0275">
        <w:rPr>
          <w:rFonts w:ascii="Arial" w:eastAsia="Times New Roman" w:hAnsi="Arial" w:cs="Arial"/>
          <w:sz w:val="22"/>
          <w:szCs w:val="22"/>
          <w:lang w:eastAsia="en-US"/>
        </w:rPr>
        <w:t>Recording chief complaints, taking vital signs and health information, and performing routine tests and procedures, including venipuncture, blood pressures, respirations, pulse rates, height, and weight.</w:t>
      </w:r>
      <w:r w:rsidR="003D0275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D0275" w:rsidRPr="003D0275">
        <w:rPr>
          <w:rFonts w:ascii="Arial" w:eastAsia="Times New Roman" w:hAnsi="Arial" w:cs="Arial"/>
          <w:sz w:val="22"/>
          <w:szCs w:val="22"/>
          <w:lang w:eastAsia="en-US"/>
        </w:rPr>
        <w:t>Preparing equipment/ supplies and cleaning examination rooms, preparing for patient examinations.</w:t>
      </w:r>
    </w:p>
    <w:p w14:paraId="71F0C280" w14:textId="77777777" w:rsidR="003D0275" w:rsidRPr="003D0275" w:rsidRDefault="003D0275" w:rsidP="003D0275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12A4E547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503C65DC" w14:textId="584A8404" w:rsidR="00F30336" w:rsidRPr="001A78F6" w:rsidRDefault="006068A4" w:rsidP="006068A4">
      <w:pPr>
        <w:pStyle w:val="Normal1"/>
        <w:spacing w:after="0" w:line="240" w:lineRule="auto"/>
        <w:rPr>
          <w:rFonts w:ascii="Arial" w:hAnsi="Arial" w:cs="Arial"/>
        </w:rPr>
      </w:pPr>
      <w:r w:rsidRPr="006068A4">
        <w:rPr>
          <w:rFonts w:hint="eastAsia"/>
        </w:rPr>
        <w:t>●</w:t>
      </w:r>
      <w:r w:rsidRPr="006068A4">
        <w:rPr>
          <w:rFonts w:hint="eastAsia"/>
        </w:rPr>
        <w:tab/>
      </w:r>
      <w:r w:rsidR="003D0275" w:rsidRPr="001A78F6">
        <w:rPr>
          <w:rFonts w:ascii="Arial" w:hAnsi="Arial" w:cs="Arial"/>
        </w:rPr>
        <w:t>Instigated an automatic instrument sanitation and sterilizing schedule with phone notifications/ reminders, decreasing infection risk by 98%.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3"/>
        <w:gridCol w:w="3744"/>
      </w:tblGrid>
      <w:tr w:rsidR="00F30336" w14:paraId="4D574AEA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5E5183" w14:textId="77777777" w:rsidR="006068A4" w:rsidRDefault="006068A4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  <w:b/>
              </w:rPr>
            </w:pPr>
          </w:p>
          <w:p w14:paraId="381C8010" w14:textId="66B84F6D"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Administrative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69C92B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14:paraId="74F0CEE6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8E1DA1C" w14:textId="02AB72C2" w:rsidR="00F30336" w:rsidRPr="006068A4" w:rsidRDefault="006068A4" w:rsidP="00A24D2E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6068A4">
              <w:rPr>
                <w:rFonts w:ascii="Arial" w:hAnsi="Arial" w:cs="Arial"/>
              </w:rPr>
              <w:t>Various Family Enterprises (Vocational Job)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793B9C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14:paraId="553E37E1" w14:textId="77777777" w:rsidR="00F30336" w:rsidRDefault="00F30336">
      <w:pPr>
        <w:pStyle w:val="Normal1"/>
        <w:spacing w:after="0" w:line="240" w:lineRule="auto"/>
        <w:contextualSpacing w:val="0"/>
      </w:pPr>
    </w:p>
    <w:p w14:paraId="4EF282FC" w14:textId="77777777" w:rsidR="00F30336" w:rsidRPr="00150D72" w:rsidRDefault="00AA0B5E">
      <w:pPr>
        <w:pStyle w:val="Normal1"/>
        <w:spacing w:after="0" w:line="240" w:lineRule="auto"/>
        <w:contextualSpacing w:val="0"/>
        <w:rPr>
          <w:color w:val="auto"/>
        </w:rPr>
      </w:pPr>
      <w:r w:rsidRPr="00150D72">
        <w:rPr>
          <w:rFonts w:ascii="Arial" w:eastAsia="Arial" w:hAnsi="Arial" w:cs="Arial"/>
          <w:color w:val="auto"/>
        </w:rPr>
        <w:t xml:space="preserve">Scheduled and coordinated appointments and events for supervisors. Entered client information and financial data into computer system. </w:t>
      </w:r>
    </w:p>
    <w:p w14:paraId="4897EBFE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07453F13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0691808A" w14:textId="77777777" w:rsidR="00F30336" w:rsidRDefault="00AA0B5E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Implemented </w:t>
      </w:r>
      <w:proofErr w:type="spellStart"/>
      <w:r w:rsidR="00150D72">
        <w:rPr>
          <w:rFonts w:ascii="Arial" w:eastAsia="Arial" w:hAnsi="Arial" w:cs="Arial"/>
        </w:rPr>
        <w:t>a</w:t>
      </w:r>
      <w:proofErr w:type="spellEnd"/>
      <w:r w:rsidR="00150D72">
        <w:rPr>
          <w:rFonts w:ascii="Arial" w:eastAsia="Arial" w:hAnsi="Arial" w:cs="Arial"/>
        </w:rPr>
        <w:t xml:space="preserve"> off-the-shelve CRM</w:t>
      </w:r>
      <w:r>
        <w:rPr>
          <w:rFonts w:ascii="Arial" w:eastAsia="Arial" w:hAnsi="Arial" w:cs="Arial"/>
        </w:rPr>
        <w:t xml:space="preserve"> system, saving the company $</w:t>
      </w:r>
      <w:r w:rsidR="00150D7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,000 in the first year of use. </w:t>
      </w:r>
    </w:p>
    <w:p w14:paraId="16FCF04C" w14:textId="77777777" w:rsidR="00F30336" w:rsidRDefault="00F30336">
      <w:pPr>
        <w:pStyle w:val="Normal1"/>
        <w:spacing w:after="0" w:line="240" w:lineRule="auto"/>
        <w:contextualSpacing w:val="0"/>
      </w:pPr>
    </w:p>
    <w:p w14:paraId="009B5600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623EEEED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3748"/>
      </w:tblGrid>
      <w:tr w:rsidR="00F30336" w14:paraId="0BD83807" w14:textId="77777777" w:rsidTr="001735F4">
        <w:tc>
          <w:tcPr>
            <w:tcW w:w="582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60EB64" w14:textId="5394AC03" w:rsidR="00F30336" w:rsidRPr="006068A4" w:rsidRDefault="006068A4" w:rsidP="00763D2F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gramStart"/>
            <w:r w:rsidRPr="006068A4">
              <w:rPr>
                <w:rFonts w:ascii="Arial" w:hAnsi="Arial" w:cs="Arial"/>
              </w:rPr>
              <w:t xml:space="preserve">Bachelor Degree in </w:t>
            </w:r>
            <w:r w:rsidR="001A78F6">
              <w:rPr>
                <w:rFonts w:ascii="Arial" w:hAnsi="Arial" w:cs="Arial"/>
              </w:rPr>
              <w:t>Nursing Sciences</w:t>
            </w:r>
            <w:proofErr w:type="gramEnd"/>
            <w:r w:rsidRPr="006068A4">
              <w:rPr>
                <w:rFonts w:ascii="Arial" w:hAnsi="Arial" w:cs="Arial"/>
              </w:rPr>
              <w:t>, Loyola University</w:t>
            </w:r>
          </w:p>
        </w:tc>
        <w:tc>
          <w:tcPr>
            <w:tcW w:w="37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3332D8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3F32684D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5FD9F028" w14:textId="77777777" w:rsidTr="001735F4">
        <w:trPr>
          <w:trHeight w:val="346"/>
        </w:trPr>
        <w:tc>
          <w:tcPr>
            <w:tcW w:w="582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EA2729" w14:textId="365943EF" w:rsidR="00F30336" w:rsidRPr="006068A4" w:rsidRDefault="001A78F6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School</w:t>
            </w:r>
            <w:r w:rsidR="006068A4" w:rsidRPr="006068A4">
              <w:rPr>
                <w:rFonts w:ascii="Arial" w:hAnsi="Arial" w:cs="Arial"/>
              </w:rPr>
              <w:t xml:space="preserve">, Jackson </w:t>
            </w:r>
            <w:r>
              <w:rPr>
                <w:rFonts w:ascii="Arial" w:hAnsi="Arial" w:cs="Arial"/>
              </w:rPr>
              <w:t xml:space="preserve">Medical </w:t>
            </w:r>
            <w:r w:rsidR="006068A4" w:rsidRPr="006068A4">
              <w:rPr>
                <w:rFonts w:ascii="Arial" w:hAnsi="Arial" w:cs="Arial"/>
              </w:rPr>
              <w:t>Academy</w:t>
            </w:r>
          </w:p>
        </w:tc>
        <w:tc>
          <w:tcPr>
            <w:tcW w:w="37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ECEF5E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69A7A7B6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7F35A639" w14:textId="77777777" w:rsidR="00F30336" w:rsidRDefault="00F30336" w:rsidP="00367C83">
      <w:pPr>
        <w:rPr>
          <w:sz w:val="2"/>
          <w:szCs w:val="2"/>
        </w:rPr>
      </w:pPr>
    </w:p>
    <w:p w14:paraId="4836DF81" w14:textId="77777777" w:rsidR="00EA60F7" w:rsidRDefault="00EA60F7" w:rsidP="00367C83">
      <w:pPr>
        <w:rPr>
          <w:sz w:val="2"/>
          <w:szCs w:val="2"/>
        </w:rPr>
      </w:pPr>
    </w:p>
    <w:p w14:paraId="7C292902" w14:textId="77777777" w:rsidR="00EA60F7" w:rsidRDefault="00EA60F7" w:rsidP="00367C83">
      <w:pPr>
        <w:rPr>
          <w:sz w:val="2"/>
          <w:szCs w:val="2"/>
        </w:rPr>
      </w:pPr>
    </w:p>
    <w:p w14:paraId="52172710" w14:textId="77777777" w:rsidR="00EA60F7" w:rsidRDefault="00EA60F7" w:rsidP="00367C83">
      <w:pPr>
        <w:rPr>
          <w:sz w:val="2"/>
          <w:szCs w:val="2"/>
        </w:rPr>
      </w:pPr>
    </w:p>
    <w:p w14:paraId="5D427C09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1735F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5F3D" w14:textId="77777777" w:rsidR="00133697" w:rsidRDefault="00133697" w:rsidP="00446F26">
      <w:r>
        <w:separator/>
      </w:r>
    </w:p>
  </w:endnote>
  <w:endnote w:type="continuationSeparator" w:id="0">
    <w:p w14:paraId="27DBDF5B" w14:textId="77777777" w:rsidR="00133697" w:rsidRDefault="00133697" w:rsidP="0044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37FC" w14:textId="700A26CE" w:rsidR="00446F26" w:rsidRPr="00E00327" w:rsidRDefault="00E00327" w:rsidP="00E00327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60 Word Templates</w:t>
      </w:r>
    </w:hyperlink>
    <w:r w:rsidRPr="0062414E">
      <w:rPr>
        <w:rFonts w:ascii="Arial" w:hAnsi="Arial" w:cs="Arial"/>
        <w:color w:val="000000"/>
        <w:sz w:val="22"/>
        <w:szCs w:val="22"/>
      </w:rPr>
      <w:t xml:space="preserve">                        </w:t>
    </w:r>
    <w:hyperlink r:id="rId2" w:history="1">
      <w:r w:rsidRPr="0062414E">
        <w:rPr>
          <w:rStyle w:val="Hipervnculo"/>
          <w:rFonts w:ascii="Arial" w:eastAsia="Tahoma" w:hAnsi="Arial" w:cs="Arial"/>
          <w:color w:val="000000"/>
          <w:sz w:val="22"/>
          <w:szCs w:val="22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405C" w14:textId="77777777" w:rsidR="00133697" w:rsidRDefault="00133697" w:rsidP="00446F26">
      <w:r>
        <w:separator/>
      </w:r>
    </w:p>
  </w:footnote>
  <w:footnote w:type="continuationSeparator" w:id="0">
    <w:p w14:paraId="1CE587F8" w14:textId="77777777" w:rsidR="00133697" w:rsidRDefault="00133697" w:rsidP="0044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F1B3" w14:textId="77777777" w:rsidR="00446F26" w:rsidRDefault="00446F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FE20" w14:textId="77777777" w:rsidR="00446F26" w:rsidRDefault="00446F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54C6" w14:textId="77777777" w:rsidR="00446F26" w:rsidRDefault="00446F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E0tzQ3MjI0MrNU0lEKTi0uzszPAykwqgUAhAh9bCwAAAA="/>
  </w:docVars>
  <w:rsids>
    <w:rsidRoot w:val="00F30336"/>
    <w:rsid w:val="000E6E34"/>
    <w:rsid w:val="00133697"/>
    <w:rsid w:val="00150D72"/>
    <w:rsid w:val="001735F4"/>
    <w:rsid w:val="001A78F6"/>
    <w:rsid w:val="001D0F09"/>
    <w:rsid w:val="00367C83"/>
    <w:rsid w:val="003D0275"/>
    <w:rsid w:val="0041042D"/>
    <w:rsid w:val="00446F26"/>
    <w:rsid w:val="004D07EA"/>
    <w:rsid w:val="005C054C"/>
    <w:rsid w:val="006068A4"/>
    <w:rsid w:val="00763D2F"/>
    <w:rsid w:val="007A46CD"/>
    <w:rsid w:val="008E7ABD"/>
    <w:rsid w:val="00A24D2E"/>
    <w:rsid w:val="00AA0B5E"/>
    <w:rsid w:val="00BF49D5"/>
    <w:rsid w:val="00D072E5"/>
    <w:rsid w:val="00D95496"/>
    <w:rsid w:val="00E00327"/>
    <w:rsid w:val="00EA60F7"/>
    <w:rsid w:val="00EB27CA"/>
    <w:rsid w:val="00F30336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D208BA1"/>
  <w15:docId w15:val="{21D4BF52-C18E-4365-BC4B-ECB92860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C054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1042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46F2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F26"/>
  </w:style>
  <w:style w:type="paragraph" w:styleId="Piedepgina">
    <w:name w:val="footer"/>
    <w:basedOn w:val="Normal"/>
    <w:link w:val="PiedepginaCar"/>
    <w:uiPriority w:val="99"/>
    <w:unhideWhenUsed/>
    <w:rsid w:val="00446F2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Resume.docx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5</cp:revision>
  <cp:lastPrinted>2016-08-05T11:26:00Z</cp:lastPrinted>
  <dcterms:created xsi:type="dcterms:W3CDTF">2021-03-04T12:59:00Z</dcterms:created>
  <dcterms:modified xsi:type="dcterms:W3CDTF">2022-03-23T16:59:00Z</dcterms:modified>
</cp:coreProperties>
</file>