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BEE52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9929F7A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58FCBD12" w14:textId="77777777" w:rsidR="00F30336" w:rsidRDefault="00F30336">
      <w:pPr>
        <w:pStyle w:val="Normal1"/>
        <w:pBdr>
          <w:top w:val="single" w:sz="4" w:space="1" w:color="auto"/>
        </w:pBdr>
      </w:pPr>
    </w:p>
    <w:p w14:paraId="3B037390" w14:textId="43D31D9F" w:rsidR="00F30336" w:rsidRPr="00561249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6"/>
        <w:gridCol w:w="3765"/>
      </w:tblGrid>
      <w:tr w:rsidR="00A24D2E" w14:paraId="317B38CC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752113" w14:textId="06DB0F93" w:rsidR="00F30336" w:rsidRPr="00A24D2E" w:rsidRDefault="00523BE0">
            <w:pPr>
              <w:pStyle w:val="Normal1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Telemarketer</w:t>
            </w:r>
            <w:r w:rsidR="00004931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828D80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14:paraId="0F5AC330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3EC705" w14:textId="1ED439F0" w:rsidR="00F30336" w:rsidRDefault="00004931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Blue Lagoon Designs 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65EDA7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27FEBFA9" w14:textId="77777777"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14:paraId="730B8B36" w14:textId="123D3BBD" w:rsidR="00150D72" w:rsidRPr="00150D72" w:rsidRDefault="00177F20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177F20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Work in collaboration with the full-time Sales team (Connected Sales Reps and Account Executives) to develop strategy, plan territory calling, and develop targeted messages for each 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script </w:t>
      </w:r>
      <w:r w:rsidRPr="00177F20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to ensure clear 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message distribution</w:t>
      </w:r>
      <w:r w:rsidRPr="00177F20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and execution of 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sales strategy</w:t>
      </w:r>
    </w:p>
    <w:p w14:paraId="1CE88823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1FBB6163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14:paraId="3A9360B2" w14:textId="094573B2" w:rsidR="00177F20" w:rsidRPr="00177F20" w:rsidRDefault="00177F20" w:rsidP="00177F20">
      <w:pPr>
        <w:pStyle w:val="Normal1"/>
        <w:numPr>
          <w:ilvl w:val="0"/>
          <w:numId w:val="4"/>
        </w:numPr>
        <w:rPr>
          <w:rFonts w:ascii="Arial" w:eastAsia="Arial" w:hAnsi="Arial" w:cs="Arial"/>
        </w:rPr>
      </w:pPr>
      <w:r w:rsidRPr="00177F20">
        <w:rPr>
          <w:rFonts w:ascii="Arial" w:eastAsia="Arial" w:hAnsi="Arial" w:cs="Arial"/>
        </w:rPr>
        <w:t xml:space="preserve">Maintained and average of </w:t>
      </w:r>
      <w:r>
        <w:rPr>
          <w:rFonts w:ascii="Arial" w:eastAsia="Arial" w:hAnsi="Arial" w:cs="Arial"/>
        </w:rPr>
        <w:t>10</w:t>
      </w:r>
      <w:r w:rsidRPr="00177F20">
        <w:rPr>
          <w:rFonts w:ascii="Arial" w:eastAsia="Arial" w:hAnsi="Arial" w:cs="Arial"/>
        </w:rPr>
        <w:t>% of add-on sales weekly and a customer satisfaction rate of 9</w:t>
      </w:r>
      <w:r>
        <w:rPr>
          <w:rFonts w:ascii="Arial" w:eastAsia="Arial" w:hAnsi="Arial" w:cs="Arial"/>
        </w:rPr>
        <w:t>5</w:t>
      </w:r>
      <w:r w:rsidRPr="00177F20">
        <w:rPr>
          <w:rFonts w:ascii="Arial" w:eastAsia="Arial" w:hAnsi="Arial" w:cs="Arial"/>
        </w:rPr>
        <w:t>%</w:t>
      </w:r>
    </w:p>
    <w:p w14:paraId="6DD6A2E0" w14:textId="77777777" w:rsidR="00177F20" w:rsidRDefault="00177F20" w:rsidP="00177F20">
      <w:pPr>
        <w:pStyle w:val="Normal1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Made the h</w:t>
      </w:r>
      <w:r w:rsidRPr="00177F20">
        <w:rPr>
          <w:rFonts w:ascii="Arial" w:eastAsia="Arial" w:hAnsi="Arial" w:cs="Arial"/>
        </w:rPr>
        <w:t xml:space="preserve">ighest number of outbound calls and recognized for sales excellence </w:t>
      </w:r>
    </w:p>
    <w:p w14:paraId="1B26C500" w14:textId="6B28CEAA" w:rsidR="00004931" w:rsidRPr="00004931" w:rsidRDefault="00004931" w:rsidP="00177F20">
      <w:pPr>
        <w:pStyle w:val="Normal1"/>
        <w:numPr>
          <w:ilvl w:val="0"/>
          <w:numId w:val="4"/>
        </w:numPr>
        <w:rPr>
          <w:rFonts w:ascii="Arial" w:eastAsia="Arial" w:hAnsi="Arial" w:cs="Arial"/>
        </w:rPr>
      </w:pPr>
      <w:r w:rsidRPr="00004931">
        <w:rPr>
          <w:rFonts w:ascii="Arial" w:eastAsia="Arial" w:hAnsi="Arial" w:cs="Arial"/>
        </w:rPr>
        <w:t xml:space="preserve">Achieved 98% positive feedback from clients </w:t>
      </w:r>
      <w:r w:rsidR="00177F20">
        <w:rPr>
          <w:rFonts w:ascii="Arial" w:eastAsia="Arial" w:hAnsi="Arial" w:cs="Arial"/>
        </w:rPr>
        <w:t>during</w:t>
      </w:r>
      <w:r w:rsidRPr="00004931">
        <w:rPr>
          <w:rFonts w:ascii="Arial" w:eastAsia="Arial" w:hAnsi="Arial" w:cs="Arial"/>
        </w:rPr>
        <w:t xml:space="preserve"> the exit interviews.</w:t>
      </w:r>
    </w:p>
    <w:p w14:paraId="324D5A19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9"/>
        <w:gridCol w:w="3802"/>
      </w:tblGrid>
      <w:tr w:rsidR="00A24D2E" w14:paraId="10F00611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864AFF" w14:textId="2E3F9368" w:rsidR="00F30336" w:rsidRDefault="00523BE0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Telemarketer</w:t>
            </w:r>
            <w:r w:rsidR="00004931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F7F147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14:paraId="4582E465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256269" w14:textId="3F86693B" w:rsidR="00F30336" w:rsidRDefault="00004931" w:rsidP="007A46CD">
            <w:pPr>
              <w:pStyle w:val="Normal1"/>
              <w:spacing w:after="0" w:line="240" w:lineRule="auto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Adventis</w:t>
            </w:r>
            <w:proofErr w:type="spellEnd"/>
            <w:r>
              <w:rPr>
                <w:rFonts w:ascii="Arial" w:eastAsia="Arial" w:hAnsi="Arial" w:cs="Arial"/>
              </w:rPr>
              <w:t xml:space="preserve"> Spaces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3D44B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4980D972" w14:textId="350F3B47" w:rsidR="00F30336" w:rsidRPr="00004931" w:rsidRDefault="00AA0B5E" w:rsidP="00004931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004931" w:rsidRPr="0000493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Managing the designing and tracking of all global operational refresh projects that work with local workplace services managers.</w:t>
      </w:r>
      <w:r w:rsidR="0000493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004931" w:rsidRPr="0000493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Managing the global acquisition projects' design working with the M&amp;A Integration lead, project directors, and outsourced project managers</w:t>
      </w:r>
      <w:r w:rsidR="0000493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.</w:t>
      </w:r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6F22D3B0" w14:textId="77777777" w:rsidR="00F30336" w:rsidRDefault="00F30336">
      <w:pPr>
        <w:pStyle w:val="Normal1"/>
        <w:spacing w:after="0" w:line="240" w:lineRule="auto"/>
        <w:contextualSpacing w:val="0"/>
      </w:pPr>
    </w:p>
    <w:p w14:paraId="261FE8A5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3278BCD1" w14:textId="5380DFED" w:rsidR="00177F20" w:rsidRPr="00177F20" w:rsidRDefault="00177F20" w:rsidP="00177F20">
      <w:pPr>
        <w:pStyle w:val="Normal1"/>
        <w:numPr>
          <w:ilvl w:val="0"/>
          <w:numId w:val="5"/>
        </w:numPr>
        <w:rPr>
          <w:rFonts w:ascii="Arial" w:eastAsia="Arial" w:hAnsi="Arial" w:cs="Arial"/>
        </w:rPr>
      </w:pPr>
      <w:r w:rsidRPr="00177F20">
        <w:rPr>
          <w:rFonts w:ascii="Arial" w:eastAsia="Arial" w:hAnsi="Arial" w:cs="Arial"/>
        </w:rPr>
        <w:t xml:space="preserve">Outbound </w:t>
      </w:r>
      <w:proofErr w:type="gramStart"/>
      <w:r w:rsidRPr="00177F20">
        <w:rPr>
          <w:rFonts w:ascii="Arial" w:eastAsia="Arial" w:hAnsi="Arial" w:cs="Arial"/>
        </w:rPr>
        <w:t>calls;</w:t>
      </w:r>
      <w:proofErr w:type="gramEnd"/>
      <w:r w:rsidRPr="00177F20">
        <w:rPr>
          <w:rFonts w:ascii="Arial" w:eastAsia="Arial" w:hAnsi="Arial" w:cs="Arial"/>
        </w:rPr>
        <w:t xml:space="preserve"> average of 120-150 calls per day and recognized for sales excellence for three consecutive months 2012 as well as first ever employee of the week in early 2012.</w:t>
      </w:r>
    </w:p>
    <w:p w14:paraId="48881840" w14:textId="77777777" w:rsidR="00177F20" w:rsidRDefault="00177F20" w:rsidP="00177F20">
      <w:pPr>
        <w:pStyle w:val="Normal1"/>
        <w:numPr>
          <w:ilvl w:val="0"/>
          <w:numId w:val="5"/>
        </w:numPr>
        <w:rPr>
          <w:rFonts w:ascii="Arial" w:eastAsia="Arial" w:hAnsi="Arial" w:cs="Arial"/>
        </w:rPr>
      </w:pPr>
      <w:r w:rsidRPr="00177F20">
        <w:rPr>
          <w:rFonts w:ascii="Arial" w:eastAsia="Arial" w:hAnsi="Arial" w:cs="Arial"/>
        </w:rPr>
        <w:t>Produced 25% of the telemarketing business</w:t>
      </w:r>
    </w:p>
    <w:p w14:paraId="6EB9FCC6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1"/>
        <w:gridCol w:w="3800"/>
      </w:tblGrid>
      <w:tr w:rsidR="00F30336" w14:paraId="22777BF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2337E8" w14:textId="51A2FECC" w:rsidR="00F30336" w:rsidRDefault="0000493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Intern </w:t>
            </w:r>
            <w:r w:rsidR="00177F20">
              <w:rPr>
                <w:rFonts w:ascii="Arial" w:eastAsia="Arial" w:hAnsi="Arial" w:cs="Arial"/>
                <w:b/>
              </w:rPr>
              <w:t>Administrator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24A26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E656BF6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DBD386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4EB43C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13EBBA79" w14:textId="77777777" w:rsidR="00F30336" w:rsidRDefault="00F30336">
      <w:pPr>
        <w:pStyle w:val="Normal1"/>
        <w:spacing w:after="0" w:line="240" w:lineRule="auto"/>
        <w:contextualSpacing w:val="0"/>
      </w:pPr>
    </w:p>
    <w:p w14:paraId="7BE6E46C" w14:textId="398406F1" w:rsidR="00004931" w:rsidRPr="00004931" w:rsidRDefault="00004931" w:rsidP="00004931">
      <w:pPr>
        <w:pStyle w:val="Normal1"/>
        <w:numPr>
          <w:ilvl w:val="0"/>
          <w:numId w:val="6"/>
        </w:numPr>
        <w:rPr>
          <w:rFonts w:ascii="Arial" w:eastAsia="Arial" w:hAnsi="Arial" w:cs="Arial"/>
          <w:color w:val="auto"/>
        </w:rPr>
      </w:pPr>
      <w:r w:rsidRPr="00004931">
        <w:rPr>
          <w:rFonts w:ascii="Arial" w:eastAsia="Arial" w:hAnsi="Arial" w:cs="Arial"/>
          <w:color w:val="auto"/>
        </w:rPr>
        <w:t xml:space="preserve">Performing projects under the direct supervision of the Section Manager, Department Manager, or other professionals. </w:t>
      </w:r>
    </w:p>
    <w:p w14:paraId="63D5F8CC" w14:textId="5A980B28" w:rsidR="00004931" w:rsidRPr="00004931" w:rsidRDefault="00004931" w:rsidP="00004931">
      <w:pPr>
        <w:pStyle w:val="Normal1"/>
        <w:numPr>
          <w:ilvl w:val="0"/>
          <w:numId w:val="6"/>
        </w:numPr>
        <w:rPr>
          <w:rFonts w:ascii="Arial" w:eastAsia="Arial" w:hAnsi="Arial" w:cs="Arial"/>
          <w:color w:val="auto"/>
        </w:rPr>
      </w:pPr>
      <w:r w:rsidRPr="00004931">
        <w:rPr>
          <w:rFonts w:ascii="Arial" w:eastAsia="Arial" w:hAnsi="Arial" w:cs="Arial"/>
          <w:color w:val="auto"/>
        </w:rPr>
        <w:t>Assisting in preparing designs, sketches, quantity calculations, schematic drawings, diagrams, and final working drawings.</w:t>
      </w:r>
    </w:p>
    <w:p w14:paraId="22B683CD" w14:textId="5401A37E" w:rsidR="00004931" w:rsidRPr="00004931" w:rsidRDefault="00004931" w:rsidP="00004931">
      <w:pPr>
        <w:pStyle w:val="Normal1"/>
        <w:numPr>
          <w:ilvl w:val="0"/>
          <w:numId w:val="6"/>
        </w:numPr>
        <w:rPr>
          <w:rFonts w:ascii="Arial" w:eastAsia="Arial" w:hAnsi="Arial" w:cs="Arial"/>
          <w:color w:val="auto"/>
        </w:rPr>
      </w:pPr>
      <w:r w:rsidRPr="00004931">
        <w:rPr>
          <w:rFonts w:ascii="Arial" w:eastAsia="Arial" w:hAnsi="Arial" w:cs="Arial"/>
          <w:color w:val="auto"/>
        </w:rPr>
        <w:t>Assisting with the progress of drawings from schematic designs through to construction documents.</w:t>
      </w:r>
    </w:p>
    <w:p w14:paraId="555D8268" w14:textId="6AB9BDF6" w:rsidR="00F30336" w:rsidRPr="00150D72" w:rsidRDefault="00004931" w:rsidP="00004931">
      <w:pPr>
        <w:pStyle w:val="Normal1"/>
        <w:numPr>
          <w:ilvl w:val="0"/>
          <w:numId w:val="6"/>
        </w:numPr>
        <w:spacing w:after="0" w:line="240" w:lineRule="auto"/>
        <w:contextualSpacing w:val="0"/>
        <w:rPr>
          <w:color w:val="auto"/>
        </w:rPr>
      </w:pPr>
      <w:r w:rsidRPr="00004931">
        <w:rPr>
          <w:rFonts w:ascii="Arial" w:eastAsia="Arial" w:hAnsi="Arial" w:cs="Arial"/>
          <w:color w:val="auto"/>
        </w:rPr>
        <w:t>Helping managers with department objectives.</w:t>
      </w:r>
      <w:r w:rsidR="003F2A8F">
        <w:rPr>
          <w:rFonts w:ascii="Arial" w:eastAsia="Arial" w:hAnsi="Arial" w:cs="Arial"/>
          <w:color w:val="auto"/>
        </w:rPr>
        <w:t xml:space="preserve"> </w:t>
      </w:r>
      <w:r w:rsidR="00AA0B5E" w:rsidRPr="00150D72">
        <w:rPr>
          <w:rFonts w:ascii="Arial" w:eastAsia="Arial" w:hAnsi="Arial" w:cs="Arial"/>
          <w:color w:val="auto"/>
        </w:rPr>
        <w:t xml:space="preserve">Scheduled and coordinated appointments and events for supervisors. Entered client information and financial data into computer system. </w:t>
      </w:r>
    </w:p>
    <w:p w14:paraId="45C52607" w14:textId="77777777" w:rsidR="00F30336" w:rsidRDefault="00F30336">
      <w:pPr>
        <w:pStyle w:val="Normal1"/>
        <w:spacing w:after="0" w:line="240" w:lineRule="auto"/>
        <w:contextualSpacing w:val="0"/>
      </w:pPr>
    </w:p>
    <w:p w14:paraId="3750BAFA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2F21D9E5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9"/>
        <w:gridCol w:w="3802"/>
      </w:tblGrid>
      <w:tr w:rsidR="00F30336" w14:paraId="374DEB80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4AF9D2" w14:textId="77777777" w:rsidR="00004931" w:rsidRDefault="00004931" w:rsidP="00177F20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004931">
              <w:rPr>
                <w:rFonts w:ascii="Arial" w:eastAsia="Arial" w:hAnsi="Arial" w:cs="Arial"/>
              </w:rPr>
              <w:t xml:space="preserve">Certification for </w:t>
            </w:r>
            <w:r w:rsidR="00177F20">
              <w:rPr>
                <w:rFonts w:ascii="Arial" w:eastAsia="Arial" w:hAnsi="Arial" w:cs="Arial"/>
              </w:rPr>
              <w:t>Telephonic Sales Management.</w:t>
            </w:r>
          </w:p>
          <w:p w14:paraId="40B0EE33" w14:textId="72D369AF" w:rsidR="00177F20" w:rsidRPr="00177F20" w:rsidRDefault="00177F20" w:rsidP="00177F20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177F20">
              <w:rPr>
                <w:rFonts w:ascii="Arial" w:hAnsi="Arial" w:cs="Arial"/>
              </w:rPr>
              <w:t>Dale Carnegie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AEE35B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7655092D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517D82D8" w14:textId="7777777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50538F" w14:textId="70305BC2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Associate of Science in </w:t>
            </w:r>
            <w:r w:rsidR="00177F20">
              <w:rPr>
                <w:rFonts w:ascii="Arial" w:eastAsia="Arial" w:hAnsi="Arial" w:cs="Arial"/>
              </w:rPr>
              <w:t>Sales Management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2686B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208CB80D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20067D97" w14:textId="77777777" w:rsidR="00EA60F7" w:rsidRDefault="00EA60F7" w:rsidP="00367C83">
      <w:pPr>
        <w:rPr>
          <w:sz w:val="2"/>
          <w:szCs w:val="2"/>
        </w:rPr>
      </w:pPr>
    </w:p>
    <w:p w14:paraId="6A6BB928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56124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2BFE" w14:textId="77777777" w:rsidR="00DA2DDA" w:rsidRDefault="00DA2DDA" w:rsidP="00D77C7E">
      <w:r>
        <w:separator/>
      </w:r>
    </w:p>
  </w:endnote>
  <w:endnote w:type="continuationSeparator" w:id="0">
    <w:p w14:paraId="63E8D108" w14:textId="77777777" w:rsidR="00DA2DDA" w:rsidRDefault="00DA2DDA" w:rsidP="00D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216" w14:textId="535EF6B1" w:rsidR="00D77C7E" w:rsidRDefault="00561249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</w:t>
    </w:r>
    <w:r w:rsidRPr="00561249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2022                     </w:t>
    </w:r>
    <w:hyperlink r:id="rId1" w:history="1">
      <w:r w:rsidRPr="00561249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561249">
      <w:rPr>
        <w:rFonts w:ascii="Arial" w:hAnsi="Arial" w:cs="Arial"/>
        <w:color w:val="000000"/>
      </w:rPr>
      <w:t xml:space="preserve">                        </w:t>
    </w:r>
    <w:hyperlink r:id="rId2" w:history="1">
      <w:r w:rsidRPr="00561249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FCFA" w14:textId="77777777" w:rsidR="00DA2DDA" w:rsidRDefault="00DA2DDA" w:rsidP="00D77C7E">
      <w:r>
        <w:separator/>
      </w:r>
    </w:p>
  </w:footnote>
  <w:footnote w:type="continuationSeparator" w:id="0">
    <w:p w14:paraId="38B33FAE" w14:textId="77777777" w:rsidR="00DA2DDA" w:rsidRDefault="00DA2DDA" w:rsidP="00D7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C6C3" w14:textId="77777777" w:rsidR="00561249" w:rsidRDefault="005612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37C4" w14:textId="77777777" w:rsidR="00561249" w:rsidRDefault="005612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3DB0" w14:textId="77777777" w:rsidR="00561249" w:rsidRDefault="005612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62"/>
    <w:multiLevelType w:val="hybridMultilevel"/>
    <w:tmpl w:val="9988A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4CA"/>
    <w:multiLevelType w:val="hybridMultilevel"/>
    <w:tmpl w:val="624A3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6C606909"/>
    <w:multiLevelType w:val="hybridMultilevel"/>
    <w:tmpl w:val="B5A2A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QwMDEzMjY3NzZS0lEKTi0uzszPAykwqgUAA+fmqiwAAAA="/>
  </w:docVars>
  <w:rsids>
    <w:rsidRoot w:val="00F30336"/>
    <w:rsid w:val="00004931"/>
    <w:rsid w:val="000523C6"/>
    <w:rsid w:val="000E6E34"/>
    <w:rsid w:val="00150D72"/>
    <w:rsid w:val="00177F20"/>
    <w:rsid w:val="001D0F09"/>
    <w:rsid w:val="00367C83"/>
    <w:rsid w:val="003F2A8F"/>
    <w:rsid w:val="00523BE0"/>
    <w:rsid w:val="00561249"/>
    <w:rsid w:val="005D70AF"/>
    <w:rsid w:val="00763D2F"/>
    <w:rsid w:val="007A46CD"/>
    <w:rsid w:val="008E7ABD"/>
    <w:rsid w:val="00A24D2E"/>
    <w:rsid w:val="00A814EE"/>
    <w:rsid w:val="00AA0B5E"/>
    <w:rsid w:val="00BF49D5"/>
    <w:rsid w:val="00D072E5"/>
    <w:rsid w:val="00D77C7E"/>
    <w:rsid w:val="00D95496"/>
    <w:rsid w:val="00DA2DDA"/>
    <w:rsid w:val="00DE35F4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73F5E9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23C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7E"/>
  </w:style>
  <w:style w:type="paragraph" w:styleId="Piedepgina">
    <w:name w:val="footer"/>
    <w:basedOn w:val="Normal"/>
    <w:link w:val="Piedepgina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Resume.docx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4</cp:revision>
  <cp:lastPrinted>2016-08-05T11:26:00Z</cp:lastPrinted>
  <dcterms:created xsi:type="dcterms:W3CDTF">2021-03-30T11:14:00Z</dcterms:created>
  <dcterms:modified xsi:type="dcterms:W3CDTF">2022-03-31T10:39:00Z</dcterms:modified>
</cp:coreProperties>
</file>